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82B75" w14:textId="40F46CAC" w:rsidR="008636FA" w:rsidRPr="008636FA" w:rsidRDefault="008636FA" w:rsidP="00547AC3">
      <w:pPr>
        <w:pStyle w:val="Title"/>
      </w:pPr>
      <w:r>
        <w:t>Attendance Policy Adjustments—</w:t>
      </w:r>
      <w:r w:rsidR="00547AC3">
        <w:t>Fall</w:t>
      </w:r>
      <w:r w:rsidR="00491B0E">
        <w:t xml:space="preserve"> 2021</w:t>
      </w:r>
    </w:p>
    <w:p w14:paraId="7100DD24" w14:textId="77777777" w:rsidR="008636FA" w:rsidRDefault="008636FA" w:rsidP="008636FA">
      <w:pPr>
        <w:rPr>
          <w:i/>
          <w:iCs/>
        </w:rPr>
      </w:pPr>
    </w:p>
    <w:p w14:paraId="01ECB67D" w14:textId="06E5EB38" w:rsidR="00547AC3" w:rsidRPr="004F5FE4" w:rsidRDefault="00547AC3" w:rsidP="00AB0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These changes to the attendance policy are</w:t>
      </w:r>
      <w:r w:rsidRPr="001F0141">
        <w:rPr>
          <w:rFonts w:ascii="Times New Roman" w:hAnsi="Times New Roman" w:cs="Times New Roman"/>
          <w:i/>
          <w:iCs/>
        </w:rPr>
        <w:t xml:space="preserve"> applicable for the Fall 202</w:t>
      </w:r>
      <w:r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 xml:space="preserve"> semester only</w:t>
      </w:r>
      <w:r w:rsidR="00AB0661">
        <w:rPr>
          <w:rFonts w:ascii="Times New Roman" w:hAnsi="Times New Roman" w:cs="Times New Roman"/>
          <w:i/>
          <w:iCs/>
        </w:rPr>
        <w:t>. They</w:t>
      </w:r>
      <w:r>
        <w:rPr>
          <w:rFonts w:ascii="Times New Roman" w:hAnsi="Times New Roman" w:cs="Times New Roman"/>
          <w:i/>
          <w:iCs/>
        </w:rPr>
        <w:t xml:space="preserve"> only replace</w:t>
      </w:r>
      <w:r w:rsidRPr="001F0141">
        <w:rPr>
          <w:rFonts w:ascii="Times New Roman" w:hAnsi="Times New Roman" w:cs="Times New Roman"/>
          <w:i/>
          <w:iCs/>
        </w:rPr>
        <w:t xml:space="preserve"> the existing attendance policy, available </w:t>
      </w:r>
      <w:hyperlink r:id="rId7" w:history="1">
        <w:r w:rsidRPr="001F0141">
          <w:rPr>
            <w:rStyle w:val="Hyperlink"/>
            <w:rFonts w:ascii="Times New Roman" w:hAnsi="Times New Roman" w:cs="Times New Roman"/>
          </w:rPr>
          <w:t>he</w:t>
        </w:r>
        <w:r w:rsidRPr="001F0141">
          <w:rPr>
            <w:rStyle w:val="Hyperlink"/>
            <w:rFonts w:ascii="Times New Roman" w:hAnsi="Times New Roman" w:cs="Times New Roman"/>
          </w:rPr>
          <w:t>r</w:t>
        </w:r>
        <w:r w:rsidRPr="001F0141">
          <w:rPr>
            <w:rStyle w:val="Hyperlink"/>
            <w:rFonts w:ascii="Times New Roman" w:hAnsi="Times New Roman" w:cs="Times New Roman"/>
          </w:rPr>
          <w:t>e</w:t>
        </w:r>
      </w:hyperlink>
      <w:r w:rsidRPr="001F0141">
        <w:rPr>
          <w:rFonts w:ascii="Times New Roman" w:hAnsi="Times New Roman" w:cs="Times New Roman"/>
        </w:rPr>
        <w:t xml:space="preserve">, </w:t>
      </w:r>
      <w:r w:rsidRPr="001F0141">
        <w:rPr>
          <w:rFonts w:ascii="Times New Roman" w:hAnsi="Times New Roman" w:cs="Times New Roman"/>
          <w:i/>
          <w:iCs/>
        </w:rPr>
        <w:t xml:space="preserve">to the extent that </w:t>
      </w:r>
      <w:r w:rsidR="00AB0661">
        <w:rPr>
          <w:rFonts w:ascii="Times New Roman" w:hAnsi="Times New Roman" w:cs="Times New Roman"/>
          <w:i/>
          <w:iCs/>
        </w:rPr>
        <w:t>they are in</w:t>
      </w:r>
      <w:r w:rsidRPr="001F0141">
        <w:rPr>
          <w:rFonts w:ascii="Times New Roman" w:hAnsi="Times New Roman" w:cs="Times New Roman"/>
          <w:i/>
          <w:iCs/>
        </w:rPr>
        <w:t xml:space="preserve"> conflict with it. On all matters on which this memorandum policy is silent, the current </w:t>
      </w:r>
      <w:hyperlink r:id="rId8" w:history="1">
        <w:r w:rsidRPr="001F0141">
          <w:rPr>
            <w:rStyle w:val="Hyperlink"/>
            <w:rFonts w:ascii="Times New Roman" w:hAnsi="Times New Roman" w:cs="Times New Roman"/>
            <w:i/>
            <w:iCs/>
          </w:rPr>
          <w:t>attendance policy</w:t>
        </w:r>
      </w:hyperlink>
      <w:r w:rsidRPr="001F0141">
        <w:rPr>
          <w:rFonts w:ascii="Times New Roman" w:hAnsi="Times New Roman" w:cs="Times New Roman"/>
          <w:i/>
          <w:iCs/>
        </w:rPr>
        <w:t xml:space="preserve"> continues to apply. </w:t>
      </w:r>
    </w:p>
    <w:p w14:paraId="71218B03" w14:textId="77777777" w:rsidR="00547AC3" w:rsidRDefault="00547AC3" w:rsidP="00AB0661">
      <w:pPr>
        <w:pStyle w:val="Heading1"/>
      </w:pPr>
      <w:r>
        <w:t>Faculty Driven Process</w:t>
      </w:r>
    </w:p>
    <w:p w14:paraId="410FEDEF" w14:textId="77777777" w:rsidR="00AB0661" w:rsidRPr="00AB0661" w:rsidRDefault="00AB0661" w:rsidP="00AB0661">
      <w:pPr>
        <w:pStyle w:val="Heading1"/>
        <w:spacing w:before="0"/>
        <w:rPr>
          <w:rFonts w:asciiTheme="majorBidi" w:eastAsiaTheme="minorHAnsi" w:hAnsiTheme="majorBidi"/>
          <w:color w:val="auto"/>
          <w:sz w:val="22"/>
          <w:szCs w:val="22"/>
        </w:rPr>
      </w:pPr>
      <w:r w:rsidRPr="00AB0661">
        <w:rPr>
          <w:rFonts w:asciiTheme="majorBidi" w:eastAsiaTheme="minorHAnsi" w:hAnsiTheme="majorBidi"/>
          <w:color w:val="auto"/>
          <w:sz w:val="22"/>
          <w:szCs w:val="22"/>
        </w:rPr>
        <w:t>Faculty will manage attendance and take note of when students fall below the 80% attendance mark for</w:t>
      </w:r>
    </w:p>
    <w:p w14:paraId="1B27C46A" w14:textId="61F3FA2F" w:rsidR="00AB0661" w:rsidRPr="00AB0661" w:rsidRDefault="00AB0661" w:rsidP="00AB0661">
      <w:pPr>
        <w:pStyle w:val="Heading1"/>
        <w:spacing w:before="0"/>
        <w:rPr>
          <w:rFonts w:asciiTheme="majorBidi" w:eastAsiaTheme="minorHAnsi" w:hAnsiTheme="majorBidi"/>
          <w:color w:val="auto"/>
          <w:sz w:val="22"/>
          <w:szCs w:val="22"/>
        </w:rPr>
      </w:pPr>
      <w:r w:rsidRPr="00AB0661">
        <w:rPr>
          <w:rFonts w:asciiTheme="majorBidi" w:eastAsiaTheme="minorHAnsi" w:hAnsiTheme="majorBidi"/>
          <w:color w:val="auto"/>
          <w:sz w:val="22"/>
          <w:szCs w:val="22"/>
        </w:rPr>
        <w:t xml:space="preserve">the year. The policy respecting how faculty maintain these records </w:t>
      </w:r>
      <w:r>
        <w:rPr>
          <w:rFonts w:asciiTheme="majorBidi" w:eastAsiaTheme="minorHAnsi" w:hAnsiTheme="majorBidi"/>
          <w:color w:val="auto"/>
          <w:sz w:val="22"/>
          <w:szCs w:val="22"/>
        </w:rPr>
        <w:t>have been</w:t>
      </w:r>
      <w:r w:rsidRPr="00AB0661">
        <w:rPr>
          <w:rFonts w:asciiTheme="majorBidi" w:eastAsiaTheme="minorHAnsi" w:hAnsiTheme="majorBidi"/>
          <w:color w:val="auto"/>
          <w:sz w:val="22"/>
          <w:szCs w:val="22"/>
        </w:rPr>
        <w:t xml:space="preserve"> left to the faculty</w:t>
      </w:r>
    </w:p>
    <w:p w14:paraId="5FA6E123" w14:textId="77777777" w:rsidR="00AB0661" w:rsidRPr="00AB0661" w:rsidRDefault="00AB0661" w:rsidP="00AB0661">
      <w:pPr>
        <w:pStyle w:val="Heading1"/>
        <w:spacing w:before="0"/>
        <w:rPr>
          <w:rFonts w:asciiTheme="majorBidi" w:eastAsiaTheme="minorHAnsi" w:hAnsiTheme="majorBidi"/>
          <w:color w:val="auto"/>
          <w:sz w:val="22"/>
          <w:szCs w:val="22"/>
        </w:rPr>
      </w:pPr>
      <w:r w:rsidRPr="00AB0661">
        <w:rPr>
          <w:rFonts w:asciiTheme="majorBidi" w:eastAsiaTheme="minorHAnsi" w:hAnsiTheme="majorBidi"/>
          <w:color w:val="auto"/>
          <w:sz w:val="22"/>
          <w:szCs w:val="22"/>
        </w:rPr>
        <w:t>member to decide. So long as the method used is transparent (i.e. disclosed to the students in the</w:t>
      </w:r>
    </w:p>
    <w:p w14:paraId="6E9B7937" w14:textId="4AF8D415" w:rsidR="00AB0661" w:rsidRDefault="00AB0661" w:rsidP="00AB0661">
      <w:pPr>
        <w:pStyle w:val="Heading1"/>
        <w:spacing w:before="0"/>
        <w:rPr>
          <w:rFonts w:asciiTheme="majorBidi" w:eastAsiaTheme="minorHAnsi" w:hAnsiTheme="majorBidi"/>
          <w:color w:val="auto"/>
          <w:sz w:val="22"/>
          <w:szCs w:val="22"/>
        </w:rPr>
      </w:pPr>
      <w:r w:rsidRPr="00AB0661">
        <w:rPr>
          <w:rFonts w:asciiTheme="majorBidi" w:eastAsiaTheme="minorHAnsi" w:hAnsiTheme="majorBidi"/>
          <w:color w:val="auto"/>
          <w:sz w:val="22"/>
          <w:szCs w:val="22"/>
        </w:rPr>
        <w:t xml:space="preserve">syllabus) and reliable, then this is sufficient. Below are some methods that faculty members </w:t>
      </w:r>
      <w:r>
        <w:rPr>
          <w:rFonts w:asciiTheme="majorBidi" w:eastAsiaTheme="minorHAnsi" w:hAnsiTheme="majorBidi"/>
          <w:color w:val="auto"/>
          <w:sz w:val="22"/>
          <w:szCs w:val="22"/>
        </w:rPr>
        <w:t>are likely to be using.</w:t>
      </w:r>
    </w:p>
    <w:p w14:paraId="46ECF502" w14:textId="77777777" w:rsidR="00AB0661" w:rsidRPr="00AB0661" w:rsidRDefault="00AB0661" w:rsidP="00AB0661"/>
    <w:p w14:paraId="35FDF743" w14:textId="0D862739" w:rsidR="00547AC3" w:rsidRPr="001F0141" w:rsidRDefault="00547AC3" w:rsidP="00AB0661">
      <w:pPr>
        <w:pStyle w:val="Heading1"/>
        <w:spacing w:before="0"/>
      </w:pPr>
      <w:r w:rsidRPr="001F0141">
        <w:t>Roll Call</w:t>
      </w:r>
    </w:p>
    <w:p w14:paraId="6B039D3A" w14:textId="1B79EA88" w:rsidR="00547AC3" w:rsidRDefault="00547AC3" w:rsidP="00AB0661">
      <w:pPr>
        <w:rPr>
          <w:rFonts w:ascii="Times New Roman" w:hAnsi="Times New Roman" w:cs="Times New Roman"/>
        </w:rPr>
      </w:pPr>
      <w:r w:rsidRPr="001F0141">
        <w:rPr>
          <w:rFonts w:ascii="Times New Roman" w:hAnsi="Times New Roman" w:cs="Times New Roman"/>
        </w:rPr>
        <w:t xml:space="preserve">Attendance may be recorded </w:t>
      </w:r>
      <w:r>
        <w:rPr>
          <w:rFonts w:ascii="Times New Roman" w:hAnsi="Times New Roman" w:cs="Times New Roman"/>
        </w:rPr>
        <w:t xml:space="preserve">through a Roll Call managed on the Canvas Learning Management System.  The Roll Call is extremely easy to use. </w:t>
      </w:r>
      <w:r w:rsidR="00AB0661">
        <w:rPr>
          <w:rFonts w:ascii="Times New Roman" w:hAnsi="Times New Roman" w:cs="Times New Roman"/>
        </w:rPr>
        <w:t xml:space="preserve">The faculty member will open the feature and then, </w:t>
      </w:r>
      <w:r>
        <w:rPr>
          <w:rFonts w:ascii="Times New Roman" w:hAnsi="Times New Roman" w:cs="Times New Roman"/>
        </w:rPr>
        <w:t xml:space="preserve">for each individual class, call out names and record who is present. Canvas will keep a record </w:t>
      </w:r>
      <w:r w:rsidR="00AB066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how many classes each student attended</w:t>
      </w:r>
      <w:r w:rsidR="00AB0661">
        <w:rPr>
          <w:rFonts w:ascii="Times New Roman" w:hAnsi="Times New Roman" w:cs="Times New Roman"/>
        </w:rPr>
        <w:t xml:space="preserve">. </w:t>
      </w:r>
      <w:r w:rsidR="00AB0661" w:rsidRPr="00AB0661">
        <w:rPr>
          <w:rFonts w:ascii="Times New Roman" w:hAnsi="Times New Roman" w:cs="Times New Roman"/>
          <w:b/>
          <w:bCs/>
          <w:i/>
          <w:iCs/>
        </w:rPr>
        <w:t>It</w:t>
      </w:r>
      <w:r w:rsidRPr="00AB0661">
        <w:rPr>
          <w:rFonts w:ascii="Times New Roman" w:hAnsi="Times New Roman" w:cs="Times New Roman"/>
          <w:b/>
          <w:bCs/>
          <w:i/>
          <w:iCs/>
        </w:rPr>
        <w:t xml:space="preserve"> will</w:t>
      </w:r>
      <w:r w:rsidR="00AB0661" w:rsidRPr="00AB0661">
        <w:rPr>
          <w:rFonts w:ascii="Times New Roman" w:hAnsi="Times New Roman" w:cs="Times New Roman"/>
          <w:b/>
          <w:bCs/>
          <w:i/>
          <w:iCs/>
        </w:rPr>
        <w:t xml:space="preserve"> then</w:t>
      </w:r>
      <w:r w:rsidRPr="00AB0661">
        <w:rPr>
          <w:rFonts w:ascii="Times New Roman" w:hAnsi="Times New Roman" w:cs="Times New Roman"/>
          <w:b/>
          <w:bCs/>
          <w:i/>
          <w:iCs/>
        </w:rPr>
        <w:t xml:space="preserve"> be easy </w:t>
      </w:r>
      <w:r w:rsidR="00AB0661" w:rsidRPr="00AB0661">
        <w:rPr>
          <w:rFonts w:ascii="Times New Roman" w:hAnsi="Times New Roman" w:cs="Times New Roman"/>
          <w:b/>
          <w:bCs/>
          <w:i/>
          <w:iCs/>
        </w:rPr>
        <w:t>for any student to see if they have</w:t>
      </w:r>
      <w:r w:rsidRPr="00AB0661">
        <w:rPr>
          <w:rFonts w:ascii="Times New Roman" w:hAnsi="Times New Roman" w:cs="Times New Roman"/>
          <w:b/>
          <w:bCs/>
          <w:i/>
          <w:iCs/>
        </w:rPr>
        <w:t xml:space="preserve"> missed more than the minimum of 20% of classes permitted</w:t>
      </w:r>
      <w:r w:rsidR="00AB0661">
        <w:rPr>
          <w:rFonts w:ascii="Times New Roman" w:hAnsi="Times New Roman" w:cs="Times New Roman"/>
          <w:b/>
          <w:bCs/>
          <w:i/>
          <w:iCs/>
        </w:rPr>
        <w:t xml:space="preserve"> by reviewing their record on Canvas</w:t>
      </w:r>
      <w:r w:rsidRPr="00AB0661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</w:rPr>
        <w:t xml:space="preserve">  </w:t>
      </w:r>
      <w:r w:rsidRPr="00AB0661">
        <w:rPr>
          <w:rFonts w:ascii="Times New Roman" w:hAnsi="Times New Roman" w:cs="Times New Roman"/>
        </w:rPr>
        <w:t>This method can be used for in person classes as easily as it can be for remote classes.</w:t>
      </w:r>
      <w:r>
        <w:rPr>
          <w:rFonts w:ascii="Times New Roman" w:hAnsi="Times New Roman" w:cs="Times New Roman"/>
          <w:i/>
          <w:iCs/>
        </w:rPr>
        <w:t xml:space="preserve">  </w:t>
      </w:r>
    </w:p>
    <w:p w14:paraId="04B3BCC0" w14:textId="77777777" w:rsidR="00547AC3" w:rsidRPr="00032574" w:rsidRDefault="00547AC3" w:rsidP="00547AC3">
      <w:pPr>
        <w:pStyle w:val="Heading1"/>
      </w:pPr>
      <w:r>
        <w:t>Sign in Sheets</w:t>
      </w:r>
    </w:p>
    <w:p w14:paraId="7E5CBCD5" w14:textId="7D728843" w:rsidR="00547AC3" w:rsidRPr="001F0141" w:rsidRDefault="00547AC3" w:rsidP="00AB0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are free not to use Canvas and instead take attendance </w:t>
      </w:r>
      <w:r w:rsidRPr="001F0141">
        <w:rPr>
          <w:rFonts w:ascii="Times New Roman" w:hAnsi="Times New Roman" w:cs="Times New Roman"/>
        </w:rPr>
        <w:t xml:space="preserve">manually through a </w:t>
      </w:r>
      <w:r>
        <w:rPr>
          <w:rFonts w:ascii="Times New Roman" w:hAnsi="Times New Roman" w:cs="Times New Roman"/>
        </w:rPr>
        <w:t xml:space="preserve">sign in sheet as they always did prior to the onset of the pandemic  The Dean’s Office will </w:t>
      </w:r>
      <w:r w:rsidR="00AB0661">
        <w:rPr>
          <w:rFonts w:ascii="Times New Roman" w:hAnsi="Times New Roman" w:cs="Times New Roman"/>
        </w:rPr>
        <w:t>be providing</w:t>
      </w:r>
      <w:r>
        <w:rPr>
          <w:rFonts w:ascii="Times New Roman" w:hAnsi="Times New Roman" w:cs="Times New Roman"/>
        </w:rPr>
        <w:t xml:space="preserve"> sign in sheets to any who request them. </w:t>
      </w:r>
      <w:r w:rsidR="00AB066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process of determining which students fall below the 80% threshold will be left to the faculty member to calculate</w:t>
      </w:r>
      <w:r w:rsidR="00AB0661">
        <w:rPr>
          <w:rFonts w:ascii="Times New Roman" w:hAnsi="Times New Roman" w:cs="Times New Roman"/>
        </w:rPr>
        <w:t xml:space="preserve">. </w:t>
      </w:r>
      <w:r w:rsidR="00AB0661" w:rsidRPr="00AB0661">
        <w:rPr>
          <w:rFonts w:ascii="Times New Roman" w:hAnsi="Times New Roman" w:cs="Times New Roman"/>
          <w:b/>
          <w:bCs/>
          <w:i/>
          <w:iCs/>
        </w:rPr>
        <w:t>This means that the only method by which students will know if they are near the 80% threshold will be through communicating directly with the faculty member teaching the relevant course</w:t>
      </w:r>
      <w:r w:rsidRPr="00AB0661">
        <w:rPr>
          <w:rFonts w:ascii="Times New Roman" w:hAnsi="Times New Roman" w:cs="Times New Roman"/>
          <w:b/>
          <w:bCs/>
          <w:i/>
          <w:iCs/>
        </w:rPr>
        <w:t>.</w:t>
      </w:r>
    </w:p>
    <w:p w14:paraId="46C5223A" w14:textId="77777777" w:rsidR="00547AC3" w:rsidRPr="001F0141" w:rsidRDefault="00547AC3" w:rsidP="00547AC3">
      <w:pPr>
        <w:pStyle w:val="Heading1"/>
      </w:pPr>
      <w:r w:rsidRPr="001F0141">
        <w:t>TopHat</w:t>
      </w:r>
    </w:p>
    <w:p w14:paraId="13BEE5D0" w14:textId="4993C14F" w:rsidR="00547AC3" w:rsidRPr="00C01A87" w:rsidRDefault="00AB0661" w:rsidP="00AB0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Many faculty members will be using TopHat to </w:t>
      </w:r>
      <w:r w:rsidR="00547AC3">
        <w:rPr>
          <w:rFonts w:ascii="Times New Roman" w:hAnsi="Times New Roman" w:cs="Times New Roman"/>
        </w:rPr>
        <w:t xml:space="preserve">  TopHat works by generating a four digit code at the start of every class when the faculty member logs into it (via Canvas, with which it integrates) and select</w:t>
      </w:r>
      <w:r>
        <w:rPr>
          <w:rFonts w:ascii="Times New Roman" w:hAnsi="Times New Roman" w:cs="Times New Roman"/>
        </w:rPr>
        <w:t>s</w:t>
      </w:r>
      <w:r w:rsidR="00547AC3">
        <w:rPr>
          <w:rFonts w:ascii="Times New Roman" w:hAnsi="Times New Roman" w:cs="Times New Roman"/>
        </w:rPr>
        <w:t xml:space="preserve"> “take attendance”.  Students then “sign in” by inputting their code into the application.  </w:t>
      </w:r>
      <w:r w:rsidR="00547AC3" w:rsidRPr="008973F6">
        <w:rPr>
          <w:rFonts w:ascii="Times New Roman" w:hAnsi="Times New Roman" w:cs="Times New Roman"/>
          <w:b/>
          <w:bCs/>
          <w:i/>
          <w:iCs/>
        </w:rPr>
        <w:t>TopHat calculates attendance, and a faculty member</w:t>
      </w:r>
      <w:r w:rsidRPr="008973F6">
        <w:rPr>
          <w:rFonts w:ascii="Times New Roman" w:hAnsi="Times New Roman" w:cs="Times New Roman"/>
          <w:b/>
          <w:bCs/>
          <w:i/>
          <w:iCs/>
        </w:rPr>
        <w:t xml:space="preserve"> and each individual student</w:t>
      </w:r>
      <w:r w:rsidR="00547AC3" w:rsidRPr="008973F6">
        <w:rPr>
          <w:rFonts w:ascii="Times New Roman" w:hAnsi="Times New Roman" w:cs="Times New Roman"/>
          <w:b/>
          <w:bCs/>
          <w:i/>
          <w:iCs/>
        </w:rPr>
        <w:t xml:space="preserve"> will know attendance levels of every student on a continuous basis throughout the semester.</w:t>
      </w:r>
      <w:r w:rsidR="00547AC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</w:t>
      </w:r>
      <w:r w:rsidR="00547AC3" w:rsidRPr="001F0141">
        <w:rPr>
          <w:rFonts w:ascii="Times New Roman" w:hAnsi="Times New Roman" w:cs="Times New Roman"/>
        </w:rPr>
        <w:t xml:space="preserve">he </w:t>
      </w:r>
      <w:hyperlink r:id="rId9" w:history="1">
        <w:r w:rsidR="00547AC3" w:rsidRPr="001F0141">
          <w:rPr>
            <w:rStyle w:val="Hyperlink"/>
            <w:rFonts w:ascii="Times New Roman" w:hAnsi="Times New Roman" w:cs="Times New Roman"/>
          </w:rPr>
          <w:t>24/7 Pitt IT Help Desk</w:t>
        </w:r>
      </w:hyperlink>
      <w:r w:rsidR="00547AC3" w:rsidRPr="001F0141">
        <w:rPr>
          <w:rFonts w:ascii="Times New Roman" w:hAnsi="Times New Roman" w:cs="Times New Roman"/>
        </w:rPr>
        <w:t xml:space="preserve"> is always available to answer questions on Pitt supported software such as Canvas and TopHat. </w:t>
      </w:r>
      <w:r w:rsidR="00547AC3">
        <w:rPr>
          <w:rFonts w:ascii="Times New Roman" w:hAnsi="Times New Roman" w:cs="Times New Roman"/>
        </w:rPr>
        <w:t xml:space="preserve">  </w:t>
      </w:r>
    </w:p>
    <w:p w14:paraId="2C95720B" w14:textId="77777777" w:rsidR="00547AC3" w:rsidRPr="008973F6" w:rsidRDefault="00547AC3" w:rsidP="00547AC3">
      <w:pPr>
        <w:pStyle w:val="xmsonormal"/>
        <w:shd w:val="clear" w:color="auto" w:fill="FFFFFF"/>
        <w:spacing w:before="0" w:beforeAutospacing="0" w:after="0" w:afterAutospacing="0"/>
        <w:ind w:left="360"/>
        <w:rPr>
          <w:b/>
          <w:bCs/>
          <w:i/>
          <w:iCs/>
          <w:color w:val="0D0D0D" w:themeColor="text1" w:themeTint="F2"/>
          <w:sz w:val="22"/>
          <w:szCs w:val="22"/>
          <w:bdr w:val="none" w:sz="0" w:space="0" w:color="auto" w:frame="1"/>
        </w:rPr>
      </w:pPr>
    </w:p>
    <w:p w14:paraId="7C44D5AD" w14:textId="50385BFC" w:rsidR="00547AC3" w:rsidRPr="008973F6" w:rsidRDefault="00547AC3" w:rsidP="00AB0661">
      <w:pPr>
        <w:rPr>
          <w:rFonts w:ascii="Times New Roman" w:hAnsi="Times New Roman" w:cs="Times New Roman"/>
          <w:b/>
          <w:bCs/>
          <w:i/>
          <w:iCs/>
        </w:rPr>
      </w:pPr>
      <w:r w:rsidRPr="008973F6">
        <w:rPr>
          <w:rFonts w:ascii="Times New Roman" w:hAnsi="Times New Roman" w:cs="Times New Roman"/>
          <w:b/>
          <w:bCs/>
          <w:i/>
          <w:iCs/>
        </w:rPr>
        <w:t>*</w:t>
      </w:r>
      <w:r w:rsidR="00AB0661" w:rsidRPr="008973F6">
        <w:rPr>
          <w:rFonts w:ascii="Times New Roman" w:hAnsi="Times New Roman" w:cs="Times New Roman"/>
          <w:b/>
          <w:bCs/>
          <w:i/>
          <w:iCs/>
        </w:rPr>
        <w:t>Any attempt to circumvent the attendance</w:t>
      </w:r>
      <w:r w:rsidRPr="008973F6">
        <w:rPr>
          <w:rFonts w:ascii="Times New Roman" w:hAnsi="Times New Roman" w:cs="Times New Roman"/>
          <w:b/>
          <w:bCs/>
          <w:i/>
          <w:iCs/>
        </w:rPr>
        <w:t xml:space="preserve"> policy</w:t>
      </w:r>
      <w:r w:rsidR="008973F6" w:rsidRPr="008973F6">
        <w:rPr>
          <w:rFonts w:ascii="Times New Roman" w:hAnsi="Times New Roman" w:cs="Times New Roman"/>
          <w:b/>
          <w:bCs/>
          <w:i/>
          <w:iCs/>
        </w:rPr>
        <w:t xml:space="preserve"> as adjusted</w:t>
      </w:r>
      <w:r w:rsidRPr="008973F6">
        <w:rPr>
          <w:rFonts w:ascii="Times New Roman" w:hAnsi="Times New Roman" w:cs="Times New Roman"/>
          <w:b/>
          <w:bCs/>
          <w:i/>
          <w:iCs/>
        </w:rPr>
        <w:t xml:space="preserve"> (for example giving out codes to non-attending students in TopHat)</w:t>
      </w:r>
      <w:r w:rsidR="00AB0661" w:rsidRPr="008973F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973F6">
        <w:rPr>
          <w:rFonts w:ascii="Times New Roman" w:hAnsi="Times New Roman" w:cs="Times New Roman"/>
          <w:b/>
          <w:bCs/>
          <w:i/>
          <w:iCs/>
        </w:rPr>
        <w:t xml:space="preserve">will be regarded as a violation of the </w:t>
      </w:r>
      <w:hyperlink r:id="rId10" w:history="1">
        <w:r w:rsidRPr="008973F6">
          <w:rPr>
            <w:rStyle w:val="Hyperlink"/>
            <w:rFonts w:ascii="Times New Roman" w:hAnsi="Times New Roman" w:cs="Times New Roman"/>
            <w:b/>
            <w:bCs/>
            <w:i/>
            <w:iCs/>
          </w:rPr>
          <w:t>Pitt Law Standards of Academic Integrity</w:t>
        </w:r>
      </w:hyperlink>
      <w:r w:rsidR="00AB0661" w:rsidRPr="008973F6">
        <w:rPr>
          <w:rFonts w:ascii="Times New Roman" w:hAnsi="Times New Roman" w:cs="Times New Roman"/>
          <w:b/>
          <w:bCs/>
          <w:i/>
          <w:iCs/>
        </w:rPr>
        <w:t xml:space="preserve"> on the part of all students participating in the circumvention.  </w:t>
      </w:r>
    </w:p>
    <w:p w14:paraId="3C22640A" w14:textId="77777777" w:rsidR="00594F25" w:rsidRDefault="00594F25">
      <w:bookmarkStart w:id="0" w:name="_GoBack"/>
      <w:bookmarkEnd w:id="0"/>
    </w:p>
    <w:sectPr w:rsidR="00594F25" w:rsidSect="00B3252A">
      <w:foot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2FD39" w14:textId="77777777" w:rsidR="00A77DAC" w:rsidRDefault="00A77DAC" w:rsidP="008636FA">
      <w:pPr>
        <w:spacing w:after="0" w:line="240" w:lineRule="auto"/>
      </w:pPr>
      <w:r>
        <w:separator/>
      </w:r>
    </w:p>
  </w:endnote>
  <w:endnote w:type="continuationSeparator" w:id="0">
    <w:p w14:paraId="3DDA95B7" w14:textId="77777777" w:rsidR="00A77DAC" w:rsidRDefault="00A77DAC" w:rsidP="0086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347206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B91A4" w14:textId="1486FF1A" w:rsidR="00B3252A" w:rsidRPr="00B3252A" w:rsidRDefault="008636F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25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25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25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73F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3252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D7F2655" w14:textId="77777777" w:rsidR="00B3252A" w:rsidRDefault="00897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D7C2B" w14:textId="77777777" w:rsidR="00A77DAC" w:rsidRDefault="00A77DAC" w:rsidP="008636FA">
      <w:pPr>
        <w:spacing w:after="0" w:line="240" w:lineRule="auto"/>
      </w:pPr>
      <w:r>
        <w:separator/>
      </w:r>
    </w:p>
  </w:footnote>
  <w:footnote w:type="continuationSeparator" w:id="0">
    <w:p w14:paraId="63AB324C" w14:textId="77777777" w:rsidR="00A77DAC" w:rsidRDefault="00A77DAC" w:rsidP="00863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745D"/>
    <w:multiLevelType w:val="hybridMultilevel"/>
    <w:tmpl w:val="64E6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25"/>
    <w:rsid w:val="00491B0E"/>
    <w:rsid w:val="00547AC3"/>
    <w:rsid w:val="00594F25"/>
    <w:rsid w:val="005B69A5"/>
    <w:rsid w:val="008636FA"/>
    <w:rsid w:val="008973F6"/>
    <w:rsid w:val="00A77DAC"/>
    <w:rsid w:val="00AB0661"/>
    <w:rsid w:val="00B9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5CB9"/>
  <w15:chartTrackingRefBased/>
  <w15:docId w15:val="{3CB47FA4-CEB8-47B1-80A0-7438E94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25"/>
  </w:style>
  <w:style w:type="paragraph" w:styleId="Heading1">
    <w:name w:val="heading 1"/>
    <w:basedOn w:val="Normal"/>
    <w:next w:val="Normal"/>
    <w:link w:val="Heading1Char"/>
    <w:uiPriority w:val="9"/>
    <w:qFormat/>
    <w:rsid w:val="00594F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F2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9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F25"/>
  </w:style>
  <w:style w:type="character" w:styleId="Hyperlink">
    <w:name w:val="Hyperlink"/>
    <w:basedOn w:val="DefaultParagraphFont"/>
    <w:uiPriority w:val="99"/>
    <w:unhideWhenUsed/>
    <w:rsid w:val="00594F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F25"/>
    <w:pPr>
      <w:ind w:left="720"/>
      <w:contextualSpacing/>
    </w:pPr>
  </w:style>
  <w:style w:type="paragraph" w:customStyle="1" w:styleId="xdefault">
    <w:name w:val="x_default"/>
    <w:basedOn w:val="Normal"/>
    <w:rsid w:val="0059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9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3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6FA"/>
  </w:style>
  <w:style w:type="paragraph" w:styleId="Title">
    <w:name w:val="Title"/>
    <w:basedOn w:val="Normal"/>
    <w:next w:val="Normal"/>
    <w:link w:val="TitleChar"/>
    <w:uiPriority w:val="10"/>
    <w:qFormat/>
    <w:rsid w:val="00863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AB06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pitt.edu/attend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w.pitt.edu/attenda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aw.pitt.edu/pp/integr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nology.pitt.edu/247-it-help-de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 Hamoudi</dc:creator>
  <cp:keywords/>
  <dc:description/>
  <cp:lastModifiedBy>Hamoudi, Haider</cp:lastModifiedBy>
  <cp:revision>3</cp:revision>
  <dcterms:created xsi:type="dcterms:W3CDTF">2021-08-14T16:48:00Z</dcterms:created>
  <dcterms:modified xsi:type="dcterms:W3CDTF">2021-08-14T16:59:00Z</dcterms:modified>
</cp:coreProperties>
</file>